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13" w:rsidRDefault="008B55CE" w:rsidP="00CC18BF">
      <w:pPr>
        <w:jc w:val="center"/>
        <w:rPr>
          <w:b/>
          <w:sz w:val="40"/>
        </w:rPr>
      </w:pPr>
      <w:r>
        <w:rPr>
          <w:b/>
          <w:sz w:val="40"/>
        </w:rPr>
        <w:t>Comment développer un plan de travail des commissions techniques 2020-2022</w:t>
      </w:r>
    </w:p>
    <w:p w:rsidR="00CC18BF" w:rsidRPr="00CC18BF" w:rsidRDefault="001D474B" w:rsidP="00AB29B7">
      <w:pPr>
        <w:pStyle w:val="Titre2"/>
        <w:numPr>
          <w:ilvl w:val="0"/>
          <w:numId w:val="0"/>
        </w:numPr>
        <w:ind w:left="360" w:hanging="360"/>
      </w:pPr>
      <w:r>
        <w:t>Introduction</w:t>
      </w:r>
    </w:p>
    <w:p w:rsidR="001A07ED" w:rsidRDefault="00EA4C13">
      <w:r>
        <w:t xml:space="preserve">Les domaines prioritaires des commissions techniques (CT) de l’AISS pour les travaux à mener durant le triennium 2020-2022 sont énoncés dans le Programme et Budget 2020-2022, </w:t>
      </w:r>
      <w:r w:rsidR="00FE175A">
        <w:t xml:space="preserve">tel qu’il a été </w:t>
      </w:r>
      <w:r>
        <w:t xml:space="preserve">adopté lors du </w:t>
      </w:r>
      <w:r w:rsidR="00FE175A">
        <w:t xml:space="preserve">dernier </w:t>
      </w:r>
      <w:r>
        <w:t>Forum mondial de la sécurité sociale</w:t>
      </w:r>
      <w:r w:rsidR="00FE175A">
        <w:t>,</w:t>
      </w:r>
      <w:r>
        <w:t xml:space="preserve"> qui s’est tenu à Bruxelles.</w:t>
      </w:r>
    </w:p>
    <w:p w:rsidR="00AB29B7" w:rsidRDefault="00FE175A" w:rsidP="00AB29B7">
      <w:r>
        <w:t>En raison</w:t>
      </w:r>
      <w:r w:rsidR="001A07ED">
        <w:t xml:space="preserve"> de la pandémie de COVID-19, le Forum pour les Commissions techniques se déroulera </w:t>
      </w:r>
      <w:r>
        <w:t xml:space="preserve">exceptionnellement </w:t>
      </w:r>
      <w:r w:rsidR="001A07ED">
        <w:t>sous la forme d’une réunion virtuelle, en ligne, le 10 juin 2020.</w:t>
      </w:r>
    </w:p>
    <w:p w:rsidR="009A6270" w:rsidRDefault="00436A1E">
      <w:r>
        <w:t xml:space="preserve">Une mobilisation efficace des membres des CT produira des informations précieuses qui seront partagées au cours du triennium de diverses manières: </w:t>
      </w:r>
    </w:p>
    <w:p w:rsidR="009A6270" w:rsidRDefault="003B111A" w:rsidP="003B111A">
      <w:pPr>
        <w:pStyle w:val="Paragraphedeliste"/>
        <w:numPr>
          <w:ilvl w:val="0"/>
          <w:numId w:val="12"/>
        </w:numPr>
      </w:pPr>
      <w:r>
        <w:t>Forum annuel des CT – 10 juin 2020, juin 2021, juin 2022</w:t>
      </w:r>
    </w:p>
    <w:p w:rsidR="008B55CE" w:rsidRDefault="009A6270" w:rsidP="003B111A">
      <w:pPr>
        <w:pStyle w:val="Paragraphedeliste"/>
        <w:numPr>
          <w:ilvl w:val="0"/>
          <w:numId w:val="12"/>
        </w:numPr>
      </w:pPr>
      <w:r>
        <w:t>Forums régionaux de la sécurité sociale pour l’Afrique, les Amériques, l’Asie et le Pacifique, l’Europe</w:t>
      </w:r>
    </w:p>
    <w:p w:rsidR="009A6270" w:rsidRDefault="008B55CE" w:rsidP="003B111A">
      <w:pPr>
        <w:pStyle w:val="Paragraphedeliste"/>
        <w:numPr>
          <w:ilvl w:val="0"/>
          <w:numId w:val="12"/>
        </w:numPr>
      </w:pPr>
      <w:r>
        <w:t>Séminaires techniques régionaux</w:t>
      </w:r>
    </w:p>
    <w:p w:rsidR="004531B9" w:rsidRDefault="004531B9" w:rsidP="003B111A">
      <w:pPr>
        <w:pStyle w:val="Paragraphedeliste"/>
        <w:numPr>
          <w:ilvl w:val="0"/>
          <w:numId w:val="12"/>
        </w:numPr>
      </w:pPr>
      <w:r>
        <w:t>Forum mondial de la sécurité sociale 2022, Marrakech, Maroc</w:t>
      </w:r>
    </w:p>
    <w:p w:rsidR="009A6270" w:rsidRDefault="008B55CE" w:rsidP="003B111A">
      <w:pPr>
        <w:pStyle w:val="Paragraphedeliste"/>
        <w:numPr>
          <w:ilvl w:val="0"/>
          <w:numId w:val="12"/>
        </w:numPr>
      </w:pPr>
      <w:r>
        <w:t>Conférences techniques internationales de l’AISS</w:t>
      </w:r>
    </w:p>
    <w:p w:rsidR="004531B9" w:rsidRDefault="004531B9" w:rsidP="004531B9">
      <w:pPr>
        <w:pStyle w:val="Paragraphedeliste"/>
        <w:numPr>
          <w:ilvl w:val="1"/>
          <w:numId w:val="12"/>
        </w:numPr>
      </w:pPr>
      <w:r>
        <w:t>LEAD</w:t>
      </w:r>
      <w:r w:rsidR="008D7BA7">
        <w:t> </w:t>
      </w:r>
      <w:r>
        <w:t>2020 – Bali, Indonésie</w:t>
      </w:r>
    </w:p>
    <w:p w:rsidR="002007B0" w:rsidRDefault="002007B0" w:rsidP="00DD3046">
      <w:pPr>
        <w:pStyle w:val="Paragraphedeliste"/>
        <w:numPr>
          <w:ilvl w:val="1"/>
          <w:numId w:val="12"/>
        </w:numPr>
      </w:pPr>
      <w:r>
        <w:t>Congrès mondial sur la sécurité et la santé au travail – </w:t>
      </w:r>
      <w:r w:rsidR="00CB2DCE">
        <w:t xml:space="preserve"> </w:t>
      </w:r>
      <w:r>
        <w:t>Toronto, Canada</w:t>
      </w:r>
    </w:p>
    <w:p w:rsidR="004531B9" w:rsidRDefault="004531B9" w:rsidP="00DD3046">
      <w:pPr>
        <w:pStyle w:val="Paragraphedeliste"/>
        <w:numPr>
          <w:ilvl w:val="1"/>
          <w:numId w:val="12"/>
        </w:numPr>
      </w:pPr>
      <w:r>
        <w:t>Conférence internationale sur les technologies de l’information et de la communication – Tallinn, Estonie</w:t>
      </w:r>
    </w:p>
    <w:p w:rsidR="002007B0" w:rsidRDefault="002007B0" w:rsidP="004531B9">
      <w:pPr>
        <w:pStyle w:val="Paragraphedeliste"/>
        <w:numPr>
          <w:ilvl w:val="1"/>
          <w:numId w:val="12"/>
        </w:numPr>
      </w:pPr>
      <w:r>
        <w:t>Conférence internationale des actuaires et statisticiens de la sécurité sociale – Zambie</w:t>
      </w:r>
    </w:p>
    <w:p w:rsidR="009A6270" w:rsidRDefault="004531B9" w:rsidP="003B111A">
      <w:pPr>
        <w:pStyle w:val="Paragraphedeliste"/>
        <w:numPr>
          <w:ilvl w:val="0"/>
          <w:numId w:val="12"/>
        </w:numPr>
      </w:pPr>
      <w:r>
        <w:t>Webinaires de l’AISS</w:t>
      </w:r>
    </w:p>
    <w:p w:rsidR="004531B9" w:rsidRDefault="004531B9" w:rsidP="003B111A">
      <w:pPr>
        <w:pStyle w:val="Paragraphedeliste"/>
        <w:numPr>
          <w:ilvl w:val="0"/>
          <w:numId w:val="12"/>
        </w:numPr>
      </w:pPr>
      <w:r>
        <w:t>Ateliers de l’AISS</w:t>
      </w:r>
    </w:p>
    <w:p w:rsidR="00AB29B7" w:rsidRPr="003B111A" w:rsidRDefault="00AB29B7" w:rsidP="00AB29B7">
      <w:pPr>
        <w:rPr>
          <w:b/>
        </w:rPr>
      </w:pPr>
      <w:r>
        <w:rPr>
          <w:b/>
        </w:rPr>
        <w:t>Qu’attend-on de vous?</w:t>
      </w:r>
    </w:p>
    <w:p w:rsidR="004531B9" w:rsidRDefault="00BA6D23" w:rsidP="00AB29B7">
      <w:r>
        <w:t xml:space="preserve">Le professionnel de l’AISS chargé de coordonner les activités de votre CT </w:t>
      </w:r>
      <w:r w:rsidR="00CB2DCE">
        <w:t xml:space="preserve">(Annexe A) </w:t>
      </w:r>
      <w:r>
        <w:t>organisera des conférences téléphoniques pour discuter de potentiels projets et recueillir vos opinions ainsi que vos idées</w:t>
      </w:r>
      <w:r w:rsidR="00CB2DCE">
        <w:t xml:space="preserve"> (Annexe B)</w:t>
      </w:r>
      <w:r>
        <w:t xml:space="preserve">. Ces appels </w:t>
      </w:r>
      <w:r w:rsidR="00FE175A">
        <w:t>tiendront</w:t>
      </w:r>
      <w:r>
        <w:t xml:space="preserve"> compte des fuseaux horaires et des langues des participants. Votre participation à ces discussions préliminaires est essentielle pour veiller au bon déroulement du Forum virtuel pour les Commissions techniques.</w:t>
      </w:r>
    </w:p>
    <w:p w:rsidR="004531B9" w:rsidRDefault="004531B9" w:rsidP="00AB29B7">
      <w:r>
        <w:t>Le Secrétariat de l’AISS révisera les propositions des CT pour minimiser les chevauchements entre les plans de travail et pour identifier tout domaine prioritaire présentant des lacunes.</w:t>
      </w:r>
    </w:p>
    <w:p w:rsidR="002007B0" w:rsidRDefault="002007B0">
      <w:r>
        <w:t>Le coordonnateur des CT de l’AISS vous contactera pour organiser une première conférence téléphonique.</w:t>
      </w:r>
    </w:p>
    <w:p w:rsidR="00FE175A" w:rsidRDefault="00FE175A"/>
    <w:p w:rsidR="008333BF" w:rsidRPr="008B55CE" w:rsidRDefault="00BA6D23" w:rsidP="008333BF">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Pr>
          <w:b/>
          <w:sz w:val="32"/>
        </w:rPr>
        <w:t>Le plan de travail des CT sera partagé et abordé lors du Forum des CT qui se tiendra le 10 juin 2020.</w:t>
      </w:r>
    </w:p>
    <w:p w:rsidR="00E5766B" w:rsidRDefault="00E5766B" w:rsidP="00EC00EE">
      <w:pPr>
        <w:jc w:val="center"/>
        <w:rPr>
          <w:b/>
          <w:sz w:val="32"/>
        </w:rPr>
      </w:pPr>
    </w:p>
    <w:p w:rsidR="00E5766B" w:rsidRDefault="00E5766B" w:rsidP="00EC00EE">
      <w:pPr>
        <w:jc w:val="center"/>
        <w:rPr>
          <w:b/>
          <w:sz w:val="32"/>
        </w:rPr>
      </w:pPr>
    </w:p>
    <w:p w:rsidR="00E5766B" w:rsidRDefault="00E5766B" w:rsidP="00EC00EE">
      <w:pPr>
        <w:jc w:val="center"/>
        <w:rPr>
          <w:b/>
          <w:sz w:val="32"/>
        </w:rPr>
      </w:pPr>
    </w:p>
    <w:p w:rsidR="00E5766B" w:rsidRDefault="00E5766B" w:rsidP="00EC00EE">
      <w:pPr>
        <w:jc w:val="center"/>
        <w:rPr>
          <w:b/>
          <w:sz w:val="32"/>
        </w:rPr>
      </w:pPr>
    </w:p>
    <w:p w:rsidR="008F5C8A" w:rsidRPr="007E280F" w:rsidRDefault="00940192" w:rsidP="00EC00EE">
      <w:pPr>
        <w:jc w:val="center"/>
        <w:rPr>
          <w:b/>
          <w:sz w:val="32"/>
          <w:szCs w:val="32"/>
        </w:rPr>
      </w:pPr>
      <w:r>
        <w:rPr>
          <w:b/>
          <w:sz w:val="32"/>
        </w:rPr>
        <w:lastRenderedPageBreak/>
        <w:t>ELEMENTS CLES DU PLAN DE TRAVAIL DES CT 2020-2022</w:t>
      </w:r>
    </w:p>
    <w:p w:rsidR="00E649B5" w:rsidRDefault="00AD1527" w:rsidP="00AD1527">
      <w:r>
        <w:t>Le plan de travail des CT de l’AISS doit tenir compte des éléments communs obligatoires et peut comprendre des éléments discrétionnaires.</w:t>
      </w:r>
    </w:p>
    <w:p w:rsidR="00AD1527" w:rsidRPr="00537690" w:rsidRDefault="00E649B5" w:rsidP="00AD1527">
      <w:pPr>
        <w:rPr>
          <w:b/>
        </w:rPr>
      </w:pPr>
      <w:r>
        <w:rPr>
          <w:b/>
        </w:rPr>
        <w:t>Eléments obligatoires du plan de travail</w:t>
      </w:r>
    </w:p>
    <w:p w:rsidR="00AD1527" w:rsidRDefault="00AD1527" w:rsidP="00AD1527">
      <w:pPr>
        <w:pStyle w:val="Paragraphedeliste"/>
        <w:numPr>
          <w:ilvl w:val="0"/>
          <w:numId w:val="18"/>
        </w:numPr>
      </w:pPr>
      <w:r>
        <w:rPr>
          <w:b/>
        </w:rPr>
        <w:t>Travaux liés aux priorités de la branche Développement de la sécurité sociale</w:t>
      </w:r>
      <w:r>
        <w:t xml:space="preserve">, tels que définis dans le Programme et Budget 2020-2022 approuvé lors du Forum mondial de la sécurité sociale </w:t>
      </w:r>
      <w:r w:rsidR="00FE175A">
        <w:t>de</w:t>
      </w:r>
      <w:r>
        <w:t xml:space="preserve"> Bruxelles en 2019. Il est à noter que chaque CT doit choisir le domaine auquel elle contribuera le plus efficacement. Il n’est pas attendu que chacune d’elles s’implique au niveau de chaque priorité.</w:t>
      </w:r>
    </w:p>
    <w:p w:rsidR="00AD1527" w:rsidRDefault="00AD1527" w:rsidP="00AD1527">
      <w:pPr>
        <w:pStyle w:val="Paragraphedeliste"/>
      </w:pPr>
      <w:r>
        <w:t>Les quatre domaines de priorité sont les suivants:</w:t>
      </w:r>
    </w:p>
    <w:p w:rsidR="00AD1527" w:rsidRDefault="00AD1527" w:rsidP="00AD1527">
      <w:pPr>
        <w:pStyle w:val="Paragraphedeliste"/>
        <w:numPr>
          <w:ilvl w:val="1"/>
          <w:numId w:val="18"/>
        </w:numPr>
      </w:pPr>
      <w:r>
        <w:t xml:space="preserve">l’avenir de la gestion et de l’administration de la </w:t>
      </w:r>
      <w:r w:rsidR="00FE175A">
        <w:t>S</w:t>
      </w:r>
      <w:r>
        <w:t>écurité sociale;</w:t>
      </w:r>
    </w:p>
    <w:p w:rsidR="00AD1527" w:rsidRDefault="00AD1527" w:rsidP="00AD1527">
      <w:pPr>
        <w:pStyle w:val="Paragraphedeliste"/>
        <w:numPr>
          <w:ilvl w:val="1"/>
          <w:numId w:val="18"/>
        </w:numPr>
      </w:pPr>
      <w:r>
        <w:t>répondre aux besoins changeants d’une population vieillissante;</w:t>
      </w:r>
    </w:p>
    <w:p w:rsidR="00AD1527" w:rsidRDefault="00AD1527" w:rsidP="00AD1527">
      <w:pPr>
        <w:pStyle w:val="Paragraphedeliste"/>
        <w:numPr>
          <w:ilvl w:val="1"/>
          <w:numId w:val="18"/>
        </w:numPr>
      </w:pPr>
      <w:r>
        <w:t xml:space="preserve">la couverture de la </w:t>
      </w:r>
      <w:r w:rsidR="00FE175A">
        <w:t xml:space="preserve">Sécurité </w:t>
      </w:r>
      <w:r>
        <w:t>sociale dans un monde en mutation;</w:t>
      </w:r>
    </w:p>
    <w:p w:rsidR="00AD1527" w:rsidRDefault="00AD1527" w:rsidP="00AD1527">
      <w:pPr>
        <w:pStyle w:val="Paragraphedeliste"/>
        <w:numPr>
          <w:ilvl w:val="1"/>
          <w:numId w:val="18"/>
        </w:numPr>
      </w:pPr>
      <w:r>
        <w:t>l</w:t>
      </w:r>
      <w:r w:rsidR="00763547">
        <w:t>e</w:t>
      </w:r>
      <w:r>
        <w:t xml:space="preserve"> </w:t>
      </w:r>
      <w:r w:rsidR="00763547">
        <w:t xml:space="preserve">rôle </w:t>
      </w:r>
      <w:r>
        <w:t xml:space="preserve">de la </w:t>
      </w:r>
      <w:r w:rsidR="00FE175A">
        <w:t xml:space="preserve">Sécurité </w:t>
      </w:r>
      <w:r>
        <w:t xml:space="preserve">sociale </w:t>
      </w:r>
      <w:r w:rsidR="00763547">
        <w:t>dans</w:t>
      </w:r>
      <w:r>
        <w:t xml:space="preserve"> la promotion d’une croissance inclusive et de la cohésion sociale.</w:t>
      </w:r>
    </w:p>
    <w:p w:rsidR="00F43C28" w:rsidRDefault="00FE175A" w:rsidP="00F43C28">
      <w:pPr>
        <w:spacing w:after="0"/>
        <w:ind w:left="720"/>
      </w:pPr>
      <w:r>
        <w:t xml:space="preserve">Lequel, parmi </w:t>
      </w:r>
      <w:r w:rsidR="00F43C28">
        <w:t xml:space="preserve">ces quatre domaines, </w:t>
      </w:r>
      <w:r>
        <w:t>vous parait le plus à même d’intéresser votre CT</w:t>
      </w:r>
      <w:r w:rsidR="00F43C28">
        <w:t>?</w:t>
      </w:r>
    </w:p>
    <w:p w:rsidR="00F43C28" w:rsidRDefault="00F43C28" w:rsidP="00F43C28">
      <w:pPr>
        <w:spacing w:after="0"/>
        <w:ind w:left="720"/>
      </w:pPr>
      <w:r>
        <w:t>Quel serait le problème à résoudre ou la question à aborder?</w:t>
      </w:r>
    </w:p>
    <w:p w:rsidR="00F43C28" w:rsidRDefault="00F43C28" w:rsidP="00F43C28">
      <w:pPr>
        <w:spacing w:after="0"/>
        <w:ind w:left="720"/>
      </w:pPr>
      <w:r>
        <w:t>Quel serait le produit final? Un rapport, une étude de cas, une analyse comparative, une présentation lors d’un événement?</w:t>
      </w:r>
    </w:p>
    <w:p w:rsidR="00F43C28" w:rsidRDefault="00F43C28" w:rsidP="00F43C28">
      <w:pPr>
        <w:spacing w:after="0"/>
        <w:ind w:left="720"/>
      </w:pPr>
      <w:r>
        <w:t>Quels sont les liens de dépendance? Par exemple par rapport à d’autres questions ou CT?</w:t>
      </w:r>
    </w:p>
    <w:p w:rsidR="00F43C28" w:rsidRDefault="00F43C28" w:rsidP="00763547">
      <w:pPr>
        <w:ind w:left="720"/>
      </w:pPr>
      <w:r>
        <w:t>Quels sont les délais clés?</w:t>
      </w:r>
    </w:p>
    <w:p w:rsidR="00AD1527" w:rsidRDefault="00AD1527" w:rsidP="00AD1527">
      <w:pPr>
        <w:pStyle w:val="Paragraphedeliste"/>
        <w:numPr>
          <w:ilvl w:val="0"/>
          <w:numId w:val="18"/>
        </w:numPr>
      </w:pPr>
      <w:r>
        <w:rPr>
          <w:b/>
        </w:rPr>
        <w:t>Travaux liés aux lignes directrices existantes.</w:t>
      </w:r>
      <w:r>
        <w:t xml:space="preserve"> Là encore, chaque CT doit décider si elle souhaite être impliquée dans le processus de révision d’une ligne directrice. Il est tout à fait normal qu’une CT ne participe pas à </w:t>
      </w:r>
      <w:r w:rsidR="00C95E24">
        <w:t>la révision de</w:t>
      </w:r>
      <w:r>
        <w:t xml:space="preserve"> lignes directrices n’étant pas en lien avec ses activités. Quatre lignes directrices seront </w:t>
      </w:r>
      <w:r w:rsidR="00763547">
        <w:t>révisées</w:t>
      </w:r>
      <w:r>
        <w:t xml:space="preserve"> au cours du triennium, à savoir:</w:t>
      </w:r>
    </w:p>
    <w:p w:rsidR="005861A8" w:rsidRDefault="005861A8" w:rsidP="005861A8">
      <w:pPr>
        <w:pStyle w:val="Paragraphedeliste"/>
        <w:numPr>
          <w:ilvl w:val="1"/>
          <w:numId w:val="18"/>
        </w:numPr>
      </w:pPr>
      <w:r>
        <w:t xml:space="preserve">lignes directrices en matière de communication (CT </w:t>
      </w:r>
      <w:r w:rsidR="00763547">
        <w:t xml:space="preserve">principale: </w:t>
      </w:r>
      <w:r>
        <w:t>OMI);</w:t>
      </w:r>
    </w:p>
    <w:p w:rsidR="005861A8" w:rsidRDefault="005861A8" w:rsidP="005861A8">
      <w:pPr>
        <w:pStyle w:val="Paragraphedeliste"/>
        <w:numPr>
          <w:ilvl w:val="1"/>
          <w:numId w:val="18"/>
        </w:numPr>
      </w:pPr>
      <w:r>
        <w:t xml:space="preserve">lignes directrices en matière de travail actuariel (CT </w:t>
      </w:r>
      <w:r w:rsidR="00763547">
        <w:t xml:space="preserve">principale: </w:t>
      </w:r>
      <w:r>
        <w:t>Actuariel);</w:t>
      </w:r>
    </w:p>
    <w:p w:rsidR="005861A8" w:rsidRDefault="005861A8" w:rsidP="005861A8">
      <w:pPr>
        <w:pStyle w:val="Paragraphedeliste"/>
        <w:numPr>
          <w:ilvl w:val="1"/>
          <w:numId w:val="18"/>
        </w:numPr>
      </w:pPr>
      <w:r>
        <w:t xml:space="preserve">lignes directrices en matière d’emploi durable (CT </w:t>
      </w:r>
      <w:r w:rsidR="00763547">
        <w:t xml:space="preserve">principale: </w:t>
      </w:r>
      <w:r>
        <w:t>Emploi);</w:t>
      </w:r>
    </w:p>
    <w:p w:rsidR="005861A8" w:rsidRDefault="005861A8" w:rsidP="005861A8">
      <w:pPr>
        <w:pStyle w:val="Paragraphedeliste"/>
        <w:numPr>
          <w:ilvl w:val="1"/>
          <w:numId w:val="18"/>
        </w:numPr>
      </w:pPr>
      <w:r>
        <w:t>lignes directrices en matière d’extension de la couverture (CT principale</w:t>
      </w:r>
      <w:r w:rsidR="00411CFB">
        <w:t>: OMI</w:t>
      </w:r>
      <w:r>
        <w:t>).</w:t>
      </w:r>
    </w:p>
    <w:p w:rsidR="005861A8" w:rsidRDefault="005861A8" w:rsidP="005861A8">
      <w:pPr>
        <w:ind w:left="720"/>
      </w:pPr>
      <w:r>
        <w:t>De plus, il est attendu que chaque CT identifie et recueille des références et des bonnes pratiques pour l’un des 13 </w:t>
      </w:r>
      <w:r w:rsidR="00FE175A">
        <w:t xml:space="preserve">recueils </w:t>
      </w:r>
      <w:r>
        <w:t>de lignes directrices</w:t>
      </w:r>
      <w:r w:rsidR="00FE175A">
        <w:t xml:space="preserve"> existants</w:t>
      </w:r>
      <w:r>
        <w:t>.</w:t>
      </w:r>
    </w:p>
    <w:p w:rsidR="00D63137" w:rsidRDefault="00C95E24" w:rsidP="005861A8">
      <w:pPr>
        <w:pStyle w:val="Paragraphedeliste"/>
        <w:numPr>
          <w:ilvl w:val="0"/>
          <w:numId w:val="18"/>
        </w:numPr>
      </w:pPr>
      <w:r>
        <w:rPr>
          <w:b/>
        </w:rPr>
        <w:t>Contribution aux nouvelles L</w:t>
      </w:r>
      <w:r w:rsidR="00D63137">
        <w:rPr>
          <w:b/>
        </w:rPr>
        <w:t>ignes directrices en matière de continuité des services et de résilience.</w:t>
      </w:r>
      <w:r w:rsidR="00D63137">
        <w:t xml:space="preserve"> Ces travaux seront dirigés par le Secrétariat de l’AISS et il est attendu que l’ensemble des CT y contribue en fonction de la pertinence du sujet abordé. </w:t>
      </w:r>
      <w:r w:rsidR="00ED42AB">
        <w:t xml:space="preserve">Il est également attendu que les CT contribuent aux webinaires relatifs au COVID-19 et </w:t>
      </w:r>
      <w:r w:rsidR="00FE175A">
        <w:t>à la revue de presse dédiée au Coronavirus</w:t>
      </w:r>
      <w:r w:rsidR="00D63137">
        <w:t>.</w:t>
      </w:r>
    </w:p>
    <w:p w:rsidR="00E649B5" w:rsidRDefault="00E649B5" w:rsidP="00E649B5">
      <w:pPr>
        <w:pStyle w:val="Paragraphedeliste"/>
      </w:pPr>
    </w:p>
    <w:p w:rsidR="00E649B5" w:rsidRDefault="00E649B5" w:rsidP="005861A8">
      <w:pPr>
        <w:pStyle w:val="Paragraphedeliste"/>
        <w:numPr>
          <w:ilvl w:val="0"/>
          <w:numId w:val="18"/>
        </w:numPr>
      </w:pPr>
      <w:r>
        <w:rPr>
          <w:b/>
        </w:rPr>
        <w:t>Contribution aux événements de l’AISS.</w:t>
      </w:r>
      <w:r>
        <w:t xml:space="preserve"> Certaines CT participent directement à des conférences internationales. En outre, l’AISS entend promouvoir la participation des membres des CT aux séminaires techniques régionaux et aux activités de l’Académie, par exemple des ateliers et un programme diplômant. Une manifestation d’intérêt serait la bienvenue.</w:t>
      </w:r>
    </w:p>
    <w:p w:rsidR="00F43C28" w:rsidRDefault="00F43C28" w:rsidP="00F43C28">
      <w:pPr>
        <w:pStyle w:val="Paragraphedeliste"/>
      </w:pPr>
    </w:p>
    <w:p w:rsidR="00E649B5" w:rsidRDefault="00537690" w:rsidP="00E649B5">
      <w:r>
        <w:rPr>
          <w:b/>
        </w:rPr>
        <w:t>Eléments discrétionnaires du plan de travail</w:t>
      </w:r>
    </w:p>
    <w:p w:rsidR="00537690" w:rsidRDefault="00E649B5" w:rsidP="00E649B5">
      <w:r>
        <w:t xml:space="preserve">Les CT ont la possibilité de mener des travaux </w:t>
      </w:r>
      <w:r w:rsidR="00FE175A">
        <w:t xml:space="preserve">libres </w:t>
      </w:r>
      <w:r>
        <w:t xml:space="preserve">en lien avec leurs propres priorités en interne. L’AISS encourage cette initiative qui construit une communauté de pratique et tire parti de l’expertise des membres des CT. Dans tous les cas, les membres des CT devront s’assurer que ces travaux ne réduisent pas leur capacité à se conformer aux éléments </w:t>
      </w:r>
      <w:r w:rsidR="00FE175A">
        <w:t xml:space="preserve">programmatiques </w:t>
      </w:r>
      <w:r>
        <w:t>susmentionnés. Par exemple:</w:t>
      </w:r>
    </w:p>
    <w:p w:rsidR="00537690" w:rsidRDefault="00537690" w:rsidP="00537690">
      <w:pPr>
        <w:pStyle w:val="Paragraphedeliste"/>
        <w:numPr>
          <w:ilvl w:val="0"/>
          <w:numId w:val="21"/>
        </w:numPr>
      </w:pPr>
      <w:r>
        <w:lastRenderedPageBreak/>
        <w:t xml:space="preserve">Projets de recherche présentant un intérêt, mais n’étant pas directement en lien avec la priorité de l’AISS. </w:t>
      </w:r>
      <w:r w:rsidR="00763547">
        <w:t>Dans ce cas</w:t>
      </w:r>
      <w:r>
        <w:t>, le soutien apporté par le Secrétariat de l’AISS sera limité.</w:t>
      </w:r>
    </w:p>
    <w:p w:rsidR="005861A8" w:rsidRDefault="00537690" w:rsidP="00537690">
      <w:pPr>
        <w:pStyle w:val="Paragraphedeliste"/>
        <w:numPr>
          <w:ilvl w:val="0"/>
          <w:numId w:val="21"/>
        </w:numPr>
      </w:pPr>
      <w:r>
        <w:t>Travaux exploratoires visant à évaluer la faisabilité de nouvelles lignes directrices. Les sujets doivent être soigneusement sélectionnés et doivent avoir atteint un niveau de maturité suffisant pour disposer de bonnes pratiques unanimement reconnues.</w:t>
      </w:r>
    </w:p>
    <w:p w:rsidR="00CB2DCE" w:rsidRDefault="00CB2DCE" w:rsidP="00CB2DCE"/>
    <w:p w:rsidR="005A639C" w:rsidRPr="005A639C" w:rsidRDefault="00411CFB" w:rsidP="005A639C">
      <w:pPr>
        <w:rPr>
          <w:b/>
        </w:rPr>
      </w:pPr>
      <w:r>
        <w:rPr>
          <w:b/>
        </w:rPr>
        <w:t>Coordinateurs des commissions techni</w:t>
      </w:r>
      <w:bookmarkStart w:id="0" w:name="_GoBack"/>
      <w:bookmarkEnd w:id="0"/>
      <w:r>
        <w:rPr>
          <w:b/>
        </w:rPr>
        <w:t>ques de l’AISS</w:t>
      </w:r>
    </w:p>
    <w:p w:rsidR="005A639C" w:rsidRDefault="005A639C" w:rsidP="005A639C">
      <w:pPr>
        <w:spacing w:after="0"/>
      </w:pPr>
    </w:p>
    <w:p w:rsidR="005A639C" w:rsidRDefault="005A639C" w:rsidP="005A639C">
      <w:pPr>
        <w:spacing w:after="0"/>
      </w:pPr>
      <w:r>
        <w:t>Commission technique des politiques de l'emploi et de l'assurance chômage</w:t>
      </w:r>
    </w:p>
    <w:p w:rsidR="005A639C" w:rsidRDefault="005A639C" w:rsidP="005A639C">
      <w:pPr>
        <w:spacing w:after="0"/>
        <w:rPr>
          <w:lang w:val="fr-CA"/>
        </w:rPr>
      </w:pPr>
      <w:r w:rsidRPr="00CB2DCE">
        <w:rPr>
          <w:lang w:val="fr-CA"/>
        </w:rPr>
        <w:t xml:space="preserve">Coordinateur:  Yukun Zhu  </w:t>
      </w:r>
      <w:hyperlink r:id="rId8" w:history="1">
        <w:r w:rsidRPr="00514FDB">
          <w:rPr>
            <w:rStyle w:val="Lienhypertexte"/>
            <w:lang w:val="fr-CA"/>
          </w:rPr>
          <w:t>zhu@ilo.org</w:t>
        </w:r>
      </w:hyperlink>
    </w:p>
    <w:p w:rsidR="005A639C" w:rsidRPr="005A639C" w:rsidRDefault="005A639C" w:rsidP="005A639C">
      <w:pPr>
        <w:spacing w:after="0"/>
        <w:rPr>
          <w:lang w:val="fr-CA"/>
        </w:rPr>
      </w:pPr>
      <w:r w:rsidRPr="005A639C">
        <w:rPr>
          <w:lang w:val="fr-CA"/>
        </w:rPr>
        <w:t>----------------------------------------------------------------------------------------------------------------</w:t>
      </w:r>
    </w:p>
    <w:p w:rsidR="005A639C" w:rsidRDefault="005A639C" w:rsidP="005A639C">
      <w:pPr>
        <w:spacing w:after="0"/>
      </w:pPr>
      <w:r>
        <w:t>Commission technique des études statistiques, actuarielles et financières</w:t>
      </w:r>
    </w:p>
    <w:p w:rsidR="005A639C" w:rsidRPr="005A639C" w:rsidRDefault="005A639C" w:rsidP="005A639C">
      <w:pPr>
        <w:spacing w:after="0"/>
        <w:rPr>
          <w:lang w:val="fr-CA"/>
        </w:rPr>
      </w:pPr>
      <w:r w:rsidRPr="005A639C">
        <w:rPr>
          <w:lang w:val="fr-CA"/>
        </w:rPr>
        <w:t xml:space="preserve">Coordinator (interim):  Dominique La Salle   </w:t>
      </w:r>
      <w:hyperlink r:id="rId9" w:history="1">
        <w:r w:rsidRPr="005A639C">
          <w:rPr>
            <w:rStyle w:val="Lienhypertexte"/>
            <w:lang w:val="fr-CA"/>
          </w:rPr>
          <w:t>lasalle@ilo.org</w:t>
        </w:r>
      </w:hyperlink>
    </w:p>
    <w:p w:rsidR="005A639C" w:rsidRPr="005A639C" w:rsidRDefault="005A639C" w:rsidP="005A639C">
      <w:pPr>
        <w:spacing w:after="0"/>
        <w:rPr>
          <w:lang w:val="fr-CA"/>
        </w:rPr>
      </w:pPr>
      <w:r w:rsidRPr="005A639C">
        <w:rPr>
          <w:lang w:val="fr-CA"/>
        </w:rPr>
        <w:t>-----------------------------------------------------------------------------------------------------------------</w:t>
      </w:r>
    </w:p>
    <w:p w:rsidR="005A639C" w:rsidRPr="00CB2DCE" w:rsidRDefault="005A639C" w:rsidP="005A639C">
      <w:pPr>
        <w:spacing w:after="0"/>
        <w:rPr>
          <w:lang w:val="fr-CA"/>
        </w:rPr>
      </w:pPr>
      <w:r w:rsidRPr="00CB2DCE">
        <w:rPr>
          <w:lang w:val="fr-CA"/>
        </w:rPr>
        <w:t>Commission technique des prestations familiales</w:t>
      </w:r>
    </w:p>
    <w:p w:rsidR="005A639C" w:rsidRDefault="005A639C" w:rsidP="005A639C">
      <w:pPr>
        <w:spacing w:after="0"/>
        <w:rPr>
          <w:lang w:val="en-GB"/>
        </w:rPr>
      </w:pPr>
      <w:r w:rsidRPr="00CB2DCE">
        <w:rPr>
          <w:lang w:val="en-GB"/>
        </w:rPr>
        <w:t xml:space="preserve">Coordinator:  Paul Mondoa  </w:t>
      </w:r>
      <w:hyperlink r:id="rId10" w:history="1">
        <w:r w:rsidRPr="00514FDB">
          <w:rPr>
            <w:rStyle w:val="Lienhypertexte"/>
            <w:lang w:val="en-GB"/>
          </w:rPr>
          <w:t>mondoa-ngomba@ilo.org</w:t>
        </w:r>
      </w:hyperlink>
    </w:p>
    <w:p w:rsidR="005A639C" w:rsidRDefault="005A639C" w:rsidP="005A639C">
      <w:pPr>
        <w:spacing w:after="0"/>
      </w:pPr>
      <w:r>
        <w:t>------------------------------------------------------------------------------------------------------------------</w:t>
      </w:r>
    </w:p>
    <w:p w:rsidR="005A639C" w:rsidRDefault="005A639C" w:rsidP="005A639C">
      <w:pPr>
        <w:spacing w:after="0"/>
      </w:pPr>
      <w:r>
        <w:t>Commission spéciale de prévention</w:t>
      </w:r>
    </w:p>
    <w:p w:rsidR="005A639C" w:rsidRPr="005A639C" w:rsidRDefault="005A639C" w:rsidP="005A639C">
      <w:pPr>
        <w:spacing w:after="0"/>
        <w:rPr>
          <w:lang w:val="fr-CA"/>
        </w:rPr>
      </w:pPr>
      <w:r w:rsidRPr="005A639C">
        <w:rPr>
          <w:lang w:val="fr-CA"/>
        </w:rPr>
        <w:t xml:space="preserve">Coordinator:  Bernd Treichel   </w:t>
      </w:r>
      <w:hyperlink r:id="rId11" w:history="1">
        <w:r w:rsidRPr="005A639C">
          <w:rPr>
            <w:rStyle w:val="Lienhypertexte"/>
            <w:lang w:val="fr-CA"/>
          </w:rPr>
          <w:t>treichel@ilo.org</w:t>
        </w:r>
      </w:hyperlink>
    </w:p>
    <w:p w:rsidR="005A639C" w:rsidRPr="00CB2DCE" w:rsidRDefault="005A639C" w:rsidP="005A639C">
      <w:pPr>
        <w:spacing w:after="0"/>
        <w:rPr>
          <w:lang w:val="fr-CA"/>
        </w:rPr>
      </w:pPr>
      <w:r w:rsidRPr="00CB2DCE">
        <w:rPr>
          <w:lang w:val="fr-CA"/>
        </w:rPr>
        <w:t xml:space="preserve">------------------------------------------------------------------------------------------------------------------ </w:t>
      </w:r>
    </w:p>
    <w:p w:rsidR="005A639C" w:rsidRDefault="005A639C" w:rsidP="005A639C">
      <w:pPr>
        <w:spacing w:after="0"/>
      </w:pPr>
      <w:r>
        <w:t>Commission technique d'assurance contre les accidents du travail et les maladies professionnelles</w:t>
      </w:r>
    </w:p>
    <w:p w:rsidR="005A639C" w:rsidRDefault="005A639C" w:rsidP="005A639C">
      <w:pPr>
        <w:spacing w:after="0"/>
        <w:rPr>
          <w:lang w:val="en-GB"/>
        </w:rPr>
      </w:pPr>
      <w:r w:rsidRPr="00CB2DCE">
        <w:rPr>
          <w:lang w:val="en-GB"/>
        </w:rPr>
        <w:t xml:space="preserve">Coordinator:  Bernd Treichel   </w:t>
      </w:r>
      <w:hyperlink r:id="rId12" w:history="1">
        <w:r w:rsidRPr="00514FDB">
          <w:rPr>
            <w:rStyle w:val="Lienhypertexte"/>
            <w:lang w:val="en-GB"/>
          </w:rPr>
          <w:t>treichel@ilo.org</w:t>
        </w:r>
      </w:hyperlink>
    </w:p>
    <w:p w:rsidR="005A639C" w:rsidRDefault="005A639C" w:rsidP="005A639C">
      <w:pPr>
        <w:spacing w:after="0"/>
      </w:pPr>
      <w:r>
        <w:t>------------------------------------------------------------------------------------------------------------------</w:t>
      </w:r>
    </w:p>
    <w:p w:rsidR="005A639C" w:rsidRDefault="005A639C" w:rsidP="005A639C">
      <w:pPr>
        <w:spacing w:after="0"/>
      </w:pPr>
      <w:r>
        <w:t>Commission technique des technologies de l’information et de la communication</w:t>
      </w:r>
    </w:p>
    <w:p w:rsidR="005A639C" w:rsidRDefault="005A639C" w:rsidP="005A639C">
      <w:pPr>
        <w:spacing w:after="0"/>
        <w:rPr>
          <w:lang w:val="en-GB"/>
        </w:rPr>
      </w:pPr>
      <w:r w:rsidRPr="00CB2DCE">
        <w:rPr>
          <w:lang w:val="en-GB"/>
        </w:rPr>
        <w:t xml:space="preserve">Coordinator:  Raul Ruggia-Frick   </w:t>
      </w:r>
      <w:hyperlink r:id="rId13" w:history="1">
        <w:r w:rsidRPr="00514FDB">
          <w:rPr>
            <w:rStyle w:val="Lienhypertexte"/>
            <w:lang w:val="en-GB"/>
          </w:rPr>
          <w:t>ruggia-frick@ilo.org</w:t>
        </w:r>
      </w:hyperlink>
    </w:p>
    <w:p w:rsidR="005A639C" w:rsidRPr="00CB2DCE" w:rsidRDefault="005A639C" w:rsidP="005A639C">
      <w:pPr>
        <w:spacing w:after="0"/>
        <w:rPr>
          <w:lang w:val="fr-CA"/>
        </w:rPr>
      </w:pPr>
      <w:r w:rsidRPr="00CB2DCE">
        <w:rPr>
          <w:lang w:val="fr-CA"/>
        </w:rPr>
        <w:t>------------------------------------------------------------------------------------------------------------------</w:t>
      </w:r>
    </w:p>
    <w:p w:rsidR="005A639C" w:rsidRDefault="005A639C" w:rsidP="005A639C">
      <w:pPr>
        <w:spacing w:after="0"/>
      </w:pPr>
      <w:r>
        <w:t>Commission technique de l'investissement des fonds de la sécurité sociale</w:t>
      </w:r>
    </w:p>
    <w:p w:rsidR="005A639C" w:rsidRPr="00CB2DCE" w:rsidRDefault="005A639C" w:rsidP="005A639C">
      <w:pPr>
        <w:spacing w:after="0"/>
        <w:rPr>
          <w:lang w:val="fr-CA"/>
        </w:rPr>
      </w:pPr>
      <w:r w:rsidRPr="00CB2DCE">
        <w:rPr>
          <w:lang w:val="fr-CA"/>
        </w:rPr>
        <w:t xml:space="preserve">Coordinator (interim)  Dominique La Salle   </w:t>
      </w:r>
      <w:hyperlink r:id="rId14" w:history="1">
        <w:r w:rsidRPr="00CB2DCE">
          <w:rPr>
            <w:rStyle w:val="Lienhypertexte"/>
            <w:lang w:val="fr-CA"/>
          </w:rPr>
          <w:t>lasalle@ilo.org</w:t>
        </w:r>
      </w:hyperlink>
    </w:p>
    <w:p w:rsidR="005A639C" w:rsidRPr="00CB2DCE" w:rsidRDefault="005A639C" w:rsidP="005A639C">
      <w:pPr>
        <w:spacing w:after="0"/>
        <w:rPr>
          <w:lang w:val="fr-CA"/>
        </w:rPr>
      </w:pPr>
      <w:r w:rsidRPr="00CB2DCE">
        <w:rPr>
          <w:lang w:val="fr-CA"/>
        </w:rPr>
        <w:t>--------------------------------------------------------------------------------------------------------------</w:t>
      </w:r>
    </w:p>
    <w:p w:rsidR="005A639C" w:rsidRDefault="005A639C" w:rsidP="005A639C">
      <w:pPr>
        <w:spacing w:after="0"/>
      </w:pPr>
      <w:r>
        <w:t>Commission technique d'assurance invalidité-vieillesse-décès</w:t>
      </w:r>
    </w:p>
    <w:p w:rsidR="005A639C" w:rsidRPr="005A639C" w:rsidRDefault="005A639C" w:rsidP="005A639C">
      <w:pPr>
        <w:spacing w:after="0"/>
        <w:rPr>
          <w:lang w:val="fr-CA"/>
        </w:rPr>
      </w:pPr>
      <w:r w:rsidRPr="005A639C">
        <w:rPr>
          <w:lang w:val="fr-CA"/>
        </w:rPr>
        <w:t xml:space="preserve">Coordinator:  Guillaume Filhon   </w:t>
      </w:r>
      <w:hyperlink r:id="rId15" w:history="1">
        <w:r w:rsidRPr="005A639C">
          <w:rPr>
            <w:rStyle w:val="Lienhypertexte"/>
            <w:lang w:val="fr-CA"/>
          </w:rPr>
          <w:t>filhon@ilo.org</w:t>
        </w:r>
      </w:hyperlink>
    </w:p>
    <w:p w:rsidR="005A639C" w:rsidRPr="005A639C" w:rsidRDefault="005A639C" w:rsidP="005A639C">
      <w:pPr>
        <w:spacing w:after="0"/>
        <w:rPr>
          <w:lang w:val="fr-CA"/>
        </w:rPr>
      </w:pPr>
      <w:r w:rsidRPr="005A639C">
        <w:rPr>
          <w:lang w:val="fr-CA"/>
        </w:rPr>
        <w:t>--------------------------------------------------------------------------------------------------------------</w:t>
      </w:r>
    </w:p>
    <w:p w:rsidR="005A639C" w:rsidRDefault="005A639C" w:rsidP="005A639C">
      <w:pPr>
        <w:spacing w:after="0"/>
      </w:pPr>
      <w:r>
        <w:t>Commission technique des prestations de santé et d’assurance maladie</w:t>
      </w:r>
    </w:p>
    <w:p w:rsidR="005A639C" w:rsidRDefault="005A639C" w:rsidP="005A639C">
      <w:pPr>
        <w:spacing w:after="0"/>
        <w:rPr>
          <w:lang w:val="es-ES"/>
        </w:rPr>
      </w:pPr>
      <w:r w:rsidRPr="00CB2DCE">
        <w:rPr>
          <w:lang w:val="es-ES"/>
        </w:rPr>
        <w:t xml:space="preserve">Coordinator (interim):   Maya Marquez  </w:t>
      </w:r>
      <w:hyperlink r:id="rId16" w:history="1">
        <w:r w:rsidRPr="00514FDB">
          <w:rPr>
            <w:rStyle w:val="Lienhypertexte"/>
            <w:lang w:val="es-ES"/>
          </w:rPr>
          <w:t>marquezroman@iloguest.org</w:t>
        </w:r>
      </w:hyperlink>
    </w:p>
    <w:p w:rsidR="005A639C" w:rsidRPr="005A639C" w:rsidRDefault="005A639C" w:rsidP="005A639C">
      <w:pPr>
        <w:spacing w:after="0"/>
        <w:rPr>
          <w:lang w:val="fr-CA"/>
        </w:rPr>
      </w:pPr>
      <w:r w:rsidRPr="005A639C">
        <w:rPr>
          <w:lang w:val="fr-CA"/>
        </w:rPr>
        <w:t>--------------------------------------------------------------------------------------------------------------</w:t>
      </w:r>
    </w:p>
    <w:p w:rsidR="005A639C" w:rsidRPr="005A639C" w:rsidRDefault="005A639C" w:rsidP="005A639C">
      <w:pPr>
        <w:spacing w:after="0"/>
        <w:rPr>
          <w:lang w:val="fr-CA"/>
        </w:rPr>
      </w:pPr>
      <w:r w:rsidRPr="005A639C">
        <w:rPr>
          <w:lang w:val="fr-CA"/>
        </w:rPr>
        <w:t>Commission technique de la mutualité</w:t>
      </w:r>
    </w:p>
    <w:p w:rsidR="005A639C" w:rsidRPr="005A639C" w:rsidRDefault="005A639C" w:rsidP="005A639C">
      <w:pPr>
        <w:spacing w:after="0"/>
        <w:rPr>
          <w:lang w:val="fr-CA"/>
        </w:rPr>
      </w:pPr>
      <w:r w:rsidRPr="005A639C">
        <w:rPr>
          <w:lang w:val="fr-CA"/>
        </w:rPr>
        <w:t xml:space="preserve">Coordinator:  Dmitri Karasyov   </w:t>
      </w:r>
      <w:hyperlink r:id="rId17" w:history="1">
        <w:r w:rsidRPr="005A639C">
          <w:rPr>
            <w:rStyle w:val="Lienhypertexte"/>
            <w:lang w:val="fr-CA"/>
          </w:rPr>
          <w:t>karasyov@ilo.org</w:t>
        </w:r>
      </w:hyperlink>
    </w:p>
    <w:p w:rsidR="005A639C" w:rsidRPr="005A639C" w:rsidRDefault="005A639C" w:rsidP="005A639C">
      <w:pPr>
        <w:spacing w:after="0"/>
        <w:rPr>
          <w:lang w:val="fr-CA"/>
        </w:rPr>
      </w:pPr>
      <w:r w:rsidRPr="005A639C">
        <w:rPr>
          <w:lang w:val="fr-CA"/>
        </w:rPr>
        <w:t>--------------------------------------------------------------------------------------------------------------</w:t>
      </w:r>
    </w:p>
    <w:p w:rsidR="005A639C" w:rsidRDefault="005A639C" w:rsidP="005A639C">
      <w:pPr>
        <w:spacing w:after="0"/>
      </w:pPr>
      <w:r>
        <w:t>Commission technique Organisation, Management et Innovation</w:t>
      </w:r>
    </w:p>
    <w:p w:rsidR="005A639C" w:rsidRPr="00411CFB" w:rsidRDefault="005A639C" w:rsidP="005A639C">
      <w:pPr>
        <w:spacing w:after="0"/>
        <w:rPr>
          <w:lang w:val="fr-CA"/>
        </w:rPr>
      </w:pPr>
      <w:r w:rsidRPr="00411CFB">
        <w:rPr>
          <w:lang w:val="fr-CA"/>
        </w:rPr>
        <w:t xml:space="preserve">Coordinator: Maribel Ortiz   </w:t>
      </w:r>
      <w:hyperlink r:id="rId18" w:history="1">
        <w:r w:rsidRPr="00411CFB">
          <w:rPr>
            <w:rStyle w:val="Lienhypertexte"/>
            <w:lang w:val="fr-CA"/>
          </w:rPr>
          <w:t>ortiz@ilo.org</w:t>
        </w:r>
      </w:hyperlink>
    </w:p>
    <w:p w:rsidR="005A639C" w:rsidRPr="00411CFB" w:rsidRDefault="005A639C" w:rsidP="005A639C">
      <w:pPr>
        <w:spacing w:after="0"/>
        <w:rPr>
          <w:lang w:val="fr-CA"/>
        </w:rPr>
      </w:pPr>
      <w:r w:rsidRPr="00411CFB">
        <w:rPr>
          <w:lang w:val="fr-CA"/>
        </w:rPr>
        <w:t>--------------------------------------------------------------------------------------------------------------</w:t>
      </w:r>
    </w:p>
    <w:p w:rsidR="005A639C" w:rsidRPr="005A639C" w:rsidRDefault="005A639C" w:rsidP="005A639C">
      <w:pPr>
        <w:spacing w:after="0"/>
        <w:rPr>
          <w:lang w:val="fr-CA"/>
        </w:rPr>
      </w:pPr>
      <w:r>
        <w:t xml:space="preserve">Commission technique d’analyse des politiques et de recherche </w:t>
      </w:r>
      <w:r w:rsidRPr="005A639C">
        <w:rPr>
          <w:lang w:val="fr-CA"/>
        </w:rPr>
        <w:t>en sécurité sociale</w:t>
      </w:r>
    </w:p>
    <w:p w:rsidR="005A639C" w:rsidRDefault="005A639C" w:rsidP="005A639C">
      <w:pPr>
        <w:spacing w:after="0"/>
      </w:pPr>
      <w:r>
        <w:t>Coordinator: Maribel Ortiz   ortiz@ilo.org</w:t>
      </w:r>
    </w:p>
    <w:p w:rsidR="005A639C" w:rsidRDefault="005A639C" w:rsidP="005A639C">
      <w:pPr>
        <w:spacing w:after="0"/>
      </w:pPr>
      <w:r>
        <w:t>---------------------------------------------------------------------------------------------------------------</w:t>
      </w:r>
    </w:p>
    <w:p w:rsidR="00CB2DCE" w:rsidRDefault="005A639C">
      <w:r>
        <w:br w:type="page"/>
      </w:r>
    </w:p>
    <w:p w:rsidR="008E3C10" w:rsidRPr="008E3C10" w:rsidRDefault="00C53486" w:rsidP="008E3C10">
      <w:pPr>
        <w:spacing w:after="0" w:line="240" w:lineRule="auto"/>
        <w:jc w:val="center"/>
        <w:rPr>
          <w:rFonts w:cs="Arial"/>
          <w:b/>
          <w:color w:val="000000"/>
          <w:sz w:val="32"/>
          <w:szCs w:val="32"/>
        </w:rPr>
      </w:pPr>
      <w:r>
        <w:rPr>
          <w:b/>
          <w:color w:val="000000"/>
          <w:sz w:val="32"/>
        </w:rPr>
        <w:lastRenderedPageBreak/>
        <w:t>MODELE DE PROJET DES CT</w:t>
      </w:r>
    </w:p>
    <w:p w:rsidR="008E3C10" w:rsidRDefault="008E3C10" w:rsidP="00777332">
      <w:pPr>
        <w:spacing w:after="0" w:line="240" w:lineRule="auto"/>
        <w:jc w:val="both"/>
        <w:rPr>
          <w:rFonts w:asciiTheme="majorHAnsi" w:hAnsiTheme="majorHAnsi" w:cs="Arial"/>
          <w:color w:val="000000"/>
          <w:sz w:val="32"/>
          <w:szCs w:val="32"/>
        </w:rPr>
      </w:pPr>
    </w:p>
    <w:p w:rsidR="00777332" w:rsidRDefault="00777332" w:rsidP="00777332">
      <w:pPr>
        <w:spacing w:after="0" w:line="240" w:lineRule="auto"/>
        <w:jc w:val="both"/>
        <w:rPr>
          <w:rFonts w:asciiTheme="majorHAnsi" w:hAnsiTheme="majorHAnsi" w:cs="Arial"/>
          <w:color w:val="000000"/>
          <w:sz w:val="32"/>
          <w:szCs w:val="32"/>
        </w:rPr>
      </w:pPr>
      <w:r>
        <w:rPr>
          <w:rFonts w:asciiTheme="majorHAnsi" w:hAnsiTheme="majorHAnsi"/>
          <w:color w:val="000000"/>
          <w:sz w:val="32"/>
        </w:rPr>
        <w:t>Nom de la CT: ______________________________________________________</w:t>
      </w:r>
    </w:p>
    <w:p w:rsidR="00007F43" w:rsidRPr="003574A8" w:rsidRDefault="00007F43" w:rsidP="00777332">
      <w:pPr>
        <w:spacing w:after="0" w:line="240" w:lineRule="auto"/>
        <w:jc w:val="both"/>
        <w:rPr>
          <w:rFonts w:asciiTheme="majorHAnsi" w:hAnsiTheme="majorHAnsi" w:cs="Arial"/>
          <w:sz w:val="32"/>
          <w:szCs w:val="32"/>
        </w:rPr>
      </w:pPr>
    </w:p>
    <w:p w:rsidR="00777332" w:rsidRDefault="00C53486" w:rsidP="00777332">
      <w:pPr>
        <w:pStyle w:val="Titre1"/>
        <w:rPr>
          <w:color w:val="000000" w:themeColor="text1"/>
        </w:rPr>
      </w:pPr>
      <w:r>
        <w:rPr>
          <w:color w:val="000000" w:themeColor="text1"/>
        </w:rPr>
        <w:t>Titre du projet: _____________________________________________________</w:t>
      </w:r>
    </w:p>
    <w:p w:rsidR="00007F43" w:rsidRPr="00007F43" w:rsidRDefault="00007F43" w:rsidP="00007F43"/>
    <w:p w:rsidR="00C53486" w:rsidRDefault="00C53486" w:rsidP="00777332">
      <w:pPr>
        <w:pStyle w:val="Titre1"/>
        <w:rPr>
          <w:color w:val="000000" w:themeColor="text1"/>
        </w:rPr>
      </w:pPr>
      <w:r>
        <w:rPr>
          <w:color w:val="000000" w:themeColor="text1"/>
        </w:rPr>
        <w:t>Description et objectif du projet:</w:t>
      </w:r>
    </w:p>
    <w:p w:rsidR="00EA7FBB" w:rsidRDefault="00007F43" w:rsidP="00EA7FB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7FBB" w:rsidRDefault="00EA7FBB" w:rsidP="00777332">
      <w:pPr>
        <w:pStyle w:val="Titre1"/>
        <w:rPr>
          <w:color w:val="000000" w:themeColor="text1"/>
        </w:rPr>
      </w:pPr>
      <w:r>
        <w:rPr>
          <w:color w:val="000000" w:themeColor="text1"/>
        </w:rPr>
        <w:t xml:space="preserve">A quelle priorité de l’AISS </w:t>
      </w:r>
      <w:r w:rsidR="00763547">
        <w:rPr>
          <w:color w:val="000000" w:themeColor="text1"/>
        </w:rPr>
        <w:t>est</w:t>
      </w:r>
      <w:r>
        <w:rPr>
          <w:color w:val="000000" w:themeColor="text1"/>
        </w:rPr>
        <w:t xml:space="preserve">-il </w:t>
      </w:r>
      <w:r w:rsidR="00763547">
        <w:rPr>
          <w:color w:val="000000" w:themeColor="text1"/>
        </w:rPr>
        <w:t xml:space="preserve">fait </w:t>
      </w:r>
      <w:r>
        <w:rPr>
          <w:color w:val="000000" w:themeColor="text1"/>
        </w:rPr>
        <w:t>référence et dans quelle mesure:</w:t>
      </w:r>
    </w:p>
    <w:p w:rsidR="00EA7FBB" w:rsidRPr="00EA7FBB" w:rsidRDefault="00007F43" w:rsidP="00EA7FB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3486" w:rsidRDefault="00C53486" w:rsidP="00777332">
      <w:pPr>
        <w:pStyle w:val="Titre1"/>
        <w:rPr>
          <w:color w:val="000000" w:themeColor="text1"/>
        </w:rPr>
      </w:pPr>
      <w:r>
        <w:rPr>
          <w:color w:val="000000" w:themeColor="text1"/>
        </w:rPr>
        <w:t>Délais clés:</w:t>
      </w:r>
    </w:p>
    <w:p w:rsidR="00C53486" w:rsidRDefault="00C53486" w:rsidP="00C53486">
      <w:r>
        <w:tab/>
        <w:t>Juin 2021</w:t>
      </w:r>
      <w:r>
        <w:tab/>
        <w:t>Rapport à mi-parcours, Forum des CT, Genève</w:t>
      </w:r>
    </w:p>
    <w:p w:rsidR="00C53486" w:rsidRDefault="00C53486" w:rsidP="00C53486">
      <w:r>
        <w:tab/>
        <w:t>Juin 2022</w:t>
      </w:r>
      <w:r>
        <w:tab/>
        <w:t>Révision finale des produits, Forum des CT, Genève</w:t>
      </w:r>
    </w:p>
    <w:p w:rsidR="00C53486" w:rsidRPr="00C53486" w:rsidRDefault="00C53486" w:rsidP="00C53486">
      <w:r>
        <w:tab/>
        <w:t>Automne 2022</w:t>
      </w:r>
      <w:r>
        <w:tab/>
        <w:t>Livraison, Forum mondial de la sécurité sociale, Marrakech, Maroc</w:t>
      </w:r>
    </w:p>
    <w:p w:rsidR="00007F43" w:rsidRDefault="00007F43" w:rsidP="00777332">
      <w:pPr>
        <w:pStyle w:val="Titre1"/>
        <w:rPr>
          <w:color w:val="000000" w:themeColor="text1"/>
        </w:rPr>
      </w:pPr>
      <w:r>
        <w:rPr>
          <w:color w:val="000000" w:themeColor="text1"/>
        </w:rPr>
        <w:t>_________________________________________________________________</w:t>
      </w:r>
    </w:p>
    <w:p w:rsidR="00C53486" w:rsidRDefault="00C53486" w:rsidP="00777332">
      <w:pPr>
        <w:pStyle w:val="Titre1"/>
        <w:rPr>
          <w:color w:val="000000" w:themeColor="text1"/>
        </w:rPr>
      </w:pPr>
      <w:r>
        <w:rPr>
          <w:color w:val="000000" w:themeColor="text1"/>
        </w:rPr>
        <w:t>Produits finaux:</w:t>
      </w:r>
    </w:p>
    <w:p w:rsidR="00C53486" w:rsidRPr="00C53486" w:rsidRDefault="00C53486" w:rsidP="00C53486">
      <w:r>
        <w:tab/>
        <w:t>Rapport, étude de cas, analyse comparative, présentation</w:t>
      </w:r>
    </w:p>
    <w:p w:rsidR="009050D3" w:rsidRDefault="009050D3" w:rsidP="009050D3">
      <w:r>
        <w:t>______________________________________________________________________________________________________________________________________________________________________________________________</w:t>
      </w:r>
    </w:p>
    <w:p w:rsidR="00C53486" w:rsidRDefault="00C53486" w:rsidP="00777332">
      <w:pPr>
        <w:pStyle w:val="Titre1"/>
        <w:rPr>
          <w:color w:val="000000" w:themeColor="text1"/>
        </w:rPr>
      </w:pPr>
      <w:r>
        <w:rPr>
          <w:color w:val="000000" w:themeColor="text1"/>
        </w:rPr>
        <w:t>Liens de dépendance:</w:t>
      </w:r>
    </w:p>
    <w:p w:rsidR="00C53486" w:rsidRDefault="00C53486" w:rsidP="00C53486">
      <w:r>
        <w:tab/>
        <w:t xml:space="preserve">Ressources internes nécessaires, autres CT participant, experts externes </w:t>
      </w:r>
    </w:p>
    <w:p w:rsidR="00FC5099" w:rsidRDefault="00007F43" w:rsidP="00777332">
      <w:r>
        <w:t>______________________________________________________________________________________________________________________________________________________________________________________________</w:t>
      </w:r>
    </w:p>
    <w:p w:rsidR="008E3C10" w:rsidRDefault="008E3C10" w:rsidP="00007F43">
      <w:pPr>
        <w:spacing w:after="0"/>
        <w:jc w:val="center"/>
        <w:rPr>
          <w:rFonts w:asciiTheme="majorHAnsi" w:hAnsiTheme="majorHAnsi"/>
          <w:b/>
          <w:sz w:val="32"/>
          <w:szCs w:val="32"/>
        </w:rPr>
      </w:pPr>
    </w:p>
    <w:sectPr w:rsidR="008E3C10" w:rsidSect="00D47F67">
      <w:footerReference w:type="default" r:id="rId19"/>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8E8616" w16cid:durableId="22497F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9A2" w:rsidRDefault="00D759A2" w:rsidP="00077D5A">
      <w:pPr>
        <w:spacing w:after="0" w:line="240" w:lineRule="auto"/>
      </w:pPr>
      <w:r>
        <w:separator/>
      </w:r>
    </w:p>
  </w:endnote>
  <w:endnote w:type="continuationSeparator" w:id="0">
    <w:p w:rsidR="00D759A2" w:rsidRDefault="00D759A2" w:rsidP="0007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1891"/>
      <w:docPartObj>
        <w:docPartGallery w:val="Page Numbers (Bottom of Page)"/>
        <w:docPartUnique/>
      </w:docPartObj>
    </w:sdtPr>
    <w:sdtEndPr>
      <w:rPr>
        <w:noProof/>
      </w:rPr>
    </w:sdtEndPr>
    <w:sdtContent>
      <w:p w:rsidR="00077D5A" w:rsidRDefault="00077D5A">
        <w:pPr>
          <w:pStyle w:val="Pieddepage"/>
          <w:jc w:val="right"/>
        </w:pPr>
        <w:r>
          <w:fldChar w:fldCharType="begin"/>
        </w:r>
        <w:r>
          <w:instrText xml:space="preserve"> PAGE   \* MERGEFORMAT </w:instrText>
        </w:r>
        <w:r>
          <w:fldChar w:fldCharType="separate"/>
        </w:r>
        <w:r w:rsidR="00411CFB">
          <w:rPr>
            <w:noProof/>
          </w:rPr>
          <w:t>4</w:t>
        </w:r>
        <w:r>
          <w:fldChar w:fldCharType="end"/>
        </w:r>
      </w:p>
    </w:sdtContent>
  </w:sdt>
  <w:p w:rsidR="00077D5A" w:rsidRDefault="00077D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9A2" w:rsidRDefault="00D759A2" w:rsidP="00077D5A">
      <w:pPr>
        <w:spacing w:after="0" w:line="240" w:lineRule="auto"/>
      </w:pPr>
      <w:r>
        <w:separator/>
      </w:r>
    </w:p>
  </w:footnote>
  <w:footnote w:type="continuationSeparator" w:id="0">
    <w:p w:rsidR="00D759A2" w:rsidRDefault="00D759A2" w:rsidP="0007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A12"/>
    <w:multiLevelType w:val="hybridMultilevel"/>
    <w:tmpl w:val="F4FE7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DE9"/>
    <w:multiLevelType w:val="hybridMultilevel"/>
    <w:tmpl w:val="B1DA8B0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E07E3"/>
    <w:multiLevelType w:val="multilevel"/>
    <w:tmpl w:val="7130C71A"/>
    <w:lvl w:ilvl="0">
      <w:start w:val="1"/>
      <w:numFmt w:val="lowerRoman"/>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C35C1"/>
    <w:multiLevelType w:val="hybridMultilevel"/>
    <w:tmpl w:val="51349F06"/>
    <w:lvl w:ilvl="0" w:tplc="44F4AB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10C8F"/>
    <w:multiLevelType w:val="hybridMultilevel"/>
    <w:tmpl w:val="FC7A773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186F4A"/>
    <w:multiLevelType w:val="hybridMultilevel"/>
    <w:tmpl w:val="ADECB7F6"/>
    <w:lvl w:ilvl="0" w:tplc="26B2F02E">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D2302"/>
    <w:multiLevelType w:val="hybridMultilevel"/>
    <w:tmpl w:val="62F4BE48"/>
    <w:lvl w:ilvl="0" w:tplc="88E432F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E34DE"/>
    <w:multiLevelType w:val="hybridMultilevel"/>
    <w:tmpl w:val="C9BA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362AE"/>
    <w:multiLevelType w:val="hybridMultilevel"/>
    <w:tmpl w:val="F24E595A"/>
    <w:lvl w:ilvl="0" w:tplc="126AE9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95F83"/>
    <w:multiLevelType w:val="hybridMultilevel"/>
    <w:tmpl w:val="82905566"/>
    <w:lvl w:ilvl="0" w:tplc="5CE078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F5341D"/>
    <w:multiLevelType w:val="hybridMultilevel"/>
    <w:tmpl w:val="12BAB650"/>
    <w:lvl w:ilvl="0" w:tplc="26724AE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668B1"/>
    <w:multiLevelType w:val="hybridMultilevel"/>
    <w:tmpl w:val="40FEDEF8"/>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4104128"/>
    <w:multiLevelType w:val="hybridMultilevel"/>
    <w:tmpl w:val="BF4A2016"/>
    <w:lvl w:ilvl="0" w:tplc="26724AEA">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FE0B06"/>
    <w:multiLevelType w:val="hybridMultilevel"/>
    <w:tmpl w:val="06B6E8F2"/>
    <w:lvl w:ilvl="0" w:tplc="C266751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C01683E"/>
    <w:multiLevelType w:val="hybridMultilevel"/>
    <w:tmpl w:val="12C0A528"/>
    <w:lvl w:ilvl="0" w:tplc="91B67F02">
      <w:start w:val="1"/>
      <w:numFmt w:val="decimal"/>
      <w:pStyle w:val="Titre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6C4E84"/>
    <w:multiLevelType w:val="hybridMultilevel"/>
    <w:tmpl w:val="4EA4757E"/>
    <w:lvl w:ilvl="0" w:tplc="B51205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884A07"/>
    <w:multiLevelType w:val="hybridMultilevel"/>
    <w:tmpl w:val="45483870"/>
    <w:lvl w:ilvl="0" w:tplc="26724AE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D7314"/>
    <w:multiLevelType w:val="hybridMultilevel"/>
    <w:tmpl w:val="89840D0C"/>
    <w:lvl w:ilvl="0" w:tplc="C2A6DF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547929"/>
    <w:multiLevelType w:val="hybridMultilevel"/>
    <w:tmpl w:val="C862E596"/>
    <w:lvl w:ilvl="0" w:tplc="88E43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C05B84"/>
    <w:multiLevelType w:val="hybridMultilevel"/>
    <w:tmpl w:val="66BC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4"/>
  </w:num>
  <w:num w:numId="5">
    <w:abstractNumId w:val="0"/>
  </w:num>
  <w:num w:numId="6">
    <w:abstractNumId w:val="1"/>
  </w:num>
  <w:num w:numId="7">
    <w:abstractNumId w:val="16"/>
  </w:num>
  <w:num w:numId="8">
    <w:abstractNumId w:val="10"/>
  </w:num>
  <w:num w:numId="9">
    <w:abstractNumId w:val="19"/>
  </w:num>
  <w:num w:numId="10">
    <w:abstractNumId w:val="12"/>
  </w:num>
  <w:num w:numId="11">
    <w:abstractNumId w:val="18"/>
  </w:num>
  <w:num w:numId="12">
    <w:abstractNumId w:val="6"/>
  </w:num>
  <w:num w:numId="13">
    <w:abstractNumId w:val="5"/>
  </w:num>
  <w:num w:numId="14">
    <w:abstractNumId w:val="15"/>
  </w:num>
  <w:num w:numId="15">
    <w:abstractNumId w:val="8"/>
  </w:num>
  <w:num w:numId="16">
    <w:abstractNumId w:val="2"/>
  </w:num>
  <w:num w:numId="17">
    <w:abstractNumId w:val="14"/>
  </w:num>
  <w:num w:numId="18">
    <w:abstractNumId w:val="9"/>
  </w:num>
  <w:num w:numId="19">
    <w:abstractNumId w:val="13"/>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2B"/>
    <w:rsid w:val="00007F43"/>
    <w:rsid w:val="000231FC"/>
    <w:rsid w:val="00025A34"/>
    <w:rsid w:val="00057102"/>
    <w:rsid w:val="00062651"/>
    <w:rsid w:val="00064DF8"/>
    <w:rsid w:val="00077D5A"/>
    <w:rsid w:val="00093C74"/>
    <w:rsid w:val="0009716A"/>
    <w:rsid w:val="000A2B4D"/>
    <w:rsid w:val="000A7C7A"/>
    <w:rsid w:val="000D2692"/>
    <w:rsid w:val="000E367D"/>
    <w:rsid w:val="00134391"/>
    <w:rsid w:val="00136FF7"/>
    <w:rsid w:val="00187934"/>
    <w:rsid w:val="00197CA4"/>
    <w:rsid w:val="001A07ED"/>
    <w:rsid w:val="001A4063"/>
    <w:rsid w:val="001D474B"/>
    <w:rsid w:val="002007B0"/>
    <w:rsid w:val="0024745C"/>
    <w:rsid w:val="00255707"/>
    <w:rsid w:val="00343206"/>
    <w:rsid w:val="003574A8"/>
    <w:rsid w:val="00365C5E"/>
    <w:rsid w:val="0037232B"/>
    <w:rsid w:val="003B111A"/>
    <w:rsid w:val="003E6E53"/>
    <w:rsid w:val="003F311E"/>
    <w:rsid w:val="0040581A"/>
    <w:rsid w:val="00411CFB"/>
    <w:rsid w:val="00436A1E"/>
    <w:rsid w:val="0044317F"/>
    <w:rsid w:val="004531B9"/>
    <w:rsid w:val="004D2C8B"/>
    <w:rsid w:val="00537690"/>
    <w:rsid w:val="005731DD"/>
    <w:rsid w:val="005861A8"/>
    <w:rsid w:val="005A639C"/>
    <w:rsid w:val="005E2506"/>
    <w:rsid w:val="00601EC3"/>
    <w:rsid w:val="006071F5"/>
    <w:rsid w:val="00610BA0"/>
    <w:rsid w:val="006250C7"/>
    <w:rsid w:val="00666775"/>
    <w:rsid w:val="007260E3"/>
    <w:rsid w:val="00751888"/>
    <w:rsid w:val="00763547"/>
    <w:rsid w:val="00776B52"/>
    <w:rsid w:val="00777332"/>
    <w:rsid w:val="0078763E"/>
    <w:rsid w:val="007A3973"/>
    <w:rsid w:val="007B3AB2"/>
    <w:rsid w:val="007D7F69"/>
    <w:rsid w:val="007E280F"/>
    <w:rsid w:val="007F6B26"/>
    <w:rsid w:val="0080225D"/>
    <w:rsid w:val="00815844"/>
    <w:rsid w:val="008333BF"/>
    <w:rsid w:val="0087543E"/>
    <w:rsid w:val="008B55CE"/>
    <w:rsid w:val="008B66DA"/>
    <w:rsid w:val="008C16C0"/>
    <w:rsid w:val="008D7BA7"/>
    <w:rsid w:val="008E3C10"/>
    <w:rsid w:val="008F5C8A"/>
    <w:rsid w:val="00903558"/>
    <w:rsid w:val="009050D3"/>
    <w:rsid w:val="00940192"/>
    <w:rsid w:val="00966605"/>
    <w:rsid w:val="00966B38"/>
    <w:rsid w:val="00981617"/>
    <w:rsid w:val="009A6270"/>
    <w:rsid w:val="00A2634A"/>
    <w:rsid w:val="00A329AF"/>
    <w:rsid w:val="00A43929"/>
    <w:rsid w:val="00A6237F"/>
    <w:rsid w:val="00AB29B7"/>
    <w:rsid w:val="00AD1527"/>
    <w:rsid w:val="00AE6AA0"/>
    <w:rsid w:val="00AF3876"/>
    <w:rsid w:val="00B110FB"/>
    <w:rsid w:val="00B36702"/>
    <w:rsid w:val="00B4782D"/>
    <w:rsid w:val="00B71FAF"/>
    <w:rsid w:val="00B8075F"/>
    <w:rsid w:val="00B90306"/>
    <w:rsid w:val="00BA6D23"/>
    <w:rsid w:val="00BB068C"/>
    <w:rsid w:val="00BE4C66"/>
    <w:rsid w:val="00C15D19"/>
    <w:rsid w:val="00C2180D"/>
    <w:rsid w:val="00C218F9"/>
    <w:rsid w:val="00C51F7C"/>
    <w:rsid w:val="00C53486"/>
    <w:rsid w:val="00C65504"/>
    <w:rsid w:val="00C95E24"/>
    <w:rsid w:val="00CA5F9C"/>
    <w:rsid w:val="00CB2DCE"/>
    <w:rsid w:val="00CC18BF"/>
    <w:rsid w:val="00D06F7F"/>
    <w:rsid w:val="00D43E18"/>
    <w:rsid w:val="00D47F67"/>
    <w:rsid w:val="00D63137"/>
    <w:rsid w:val="00D759A2"/>
    <w:rsid w:val="00DA2151"/>
    <w:rsid w:val="00E16785"/>
    <w:rsid w:val="00E17EC5"/>
    <w:rsid w:val="00E468D6"/>
    <w:rsid w:val="00E5766B"/>
    <w:rsid w:val="00E649B5"/>
    <w:rsid w:val="00EA4C13"/>
    <w:rsid w:val="00EA7FBB"/>
    <w:rsid w:val="00EB0708"/>
    <w:rsid w:val="00EC00EE"/>
    <w:rsid w:val="00ED42AB"/>
    <w:rsid w:val="00EF3A95"/>
    <w:rsid w:val="00F43C28"/>
    <w:rsid w:val="00F85536"/>
    <w:rsid w:val="00FB6EAA"/>
    <w:rsid w:val="00FC12FD"/>
    <w:rsid w:val="00FC5099"/>
    <w:rsid w:val="00FE175A"/>
    <w:rsid w:val="00FE5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0325"/>
  <w15:chartTrackingRefBased/>
  <w15:docId w15:val="{1CA746CD-97AE-4774-8E37-71048758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77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C18BF"/>
    <w:pPr>
      <w:numPr>
        <w:numId w:val="4"/>
      </w:numPr>
      <w:outlineLvl w:val="1"/>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232B"/>
    <w:pPr>
      <w:ind w:left="720"/>
      <w:contextualSpacing/>
    </w:pPr>
  </w:style>
  <w:style w:type="character" w:styleId="Lienhypertexte">
    <w:name w:val="Hyperlink"/>
    <w:basedOn w:val="Policepardfaut"/>
    <w:uiPriority w:val="99"/>
    <w:unhideWhenUsed/>
    <w:rsid w:val="00BB068C"/>
    <w:rPr>
      <w:color w:val="0563C1" w:themeColor="hyperlink"/>
      <w:u w:val="single"/>
    </w:rPr>
  </w:style>
  <w:style w:type="paragraph" w:styleId="En-tte">
    <w:name w:val="header"/>
    <w:basedOn w:val="Normal"/>
    <w:link w:val="En-tteCar"/>
    <w:uiPriority w:val="99"/>
    <w:unhideWhenUsed/>
    <w:rsid w:val="00077D5A"/>
    <w:pPr>
      <w:tabs>
        <w:tab w:val="center" w:pos="4513"/>
        <w:tab w:val="right" w:pos="9026"/>
      </w:tabs>
      <w:spacing w:after="0" w:line="240" w:lineRule="auto"/>
    </w:pPr>
  </w:style>
  <w:style w:type="character" w:customStyle="1" w:styleId="En-tteCar">
    <w:name w:val="En-tête Car"/>
    <w:basedOn w:val="Policepardfaut"/>
    <w:link w:val="En-tte"/>
    <w:uiPriority w:val="99"/>
    <w:rsid w:val="00077D5A"/>
  </w:style>
  <w:style w:type="paragraph" w:styleId="Pieddepage">
    <w:name w:val="footer"/>
    <w:basedOn w:val="Normal"/>
    <w:link w:val="PieddepageCar"/>
    <w:uiPriority w:val="99"/>
    <w:unhideWhenUsed/>
    <w:rsid w:val="00077D5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77D5A"/>
  </w:style>
  <w:style w:type="paragraph" w:styleId="Textedebulles">
    <w:name w:val="Balloon Text"/>
    <w:basedOn w:val="Normal"/>
    <w:link w:val="TextedebullesCar"/>
    <w:uiPriority w:val="99"/>
    <w:semiHidden/>
    <w:unhideWhenUsed/>
    <w:rsid w:val="00D47F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7F67"/>
    <w:rPr>
      <w:rFonts w:ascii="Segoe UI" w:hAnsi="Segoe UI" w:cs="Segoe UI"/>
      <w:sz w:val="18"/>
      <w:szCs w:val="18"/>
    </w:rPr>
  </w:style>
  <w:style w:type="character" w:customStyle="1" w:styleId="Titre2Car">
    <w:name w:val="Titre 2 Car"/>
    <w:basedOn w:val="Policepardfaut"/>
    <w:link w:val="Titre2"/>
    <w:uiPriority w:val="9"/>
    <w:rsid w:val="00CC18BF"/>
    <w:rPr>
      <w:b/>
      <w:sz w:val="28"/>
    </w:rPr>
  </w:style>
  <w:style w:type="paragraph" w:styleId="NormalWeb">
    <w:name w:val="Normal (Web)"/>
    <w:basedOn w:val="Normal"/>
    <w:uiPriority w:val="99"/>
    <w:unhideWhenUsed/>
    <w:rsid w:val="001A40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re1Car">
    <w:name w:val="Titre 1 Car"/>
    <w:basedOn w:val="Policepardfaut"/>
    <w:link w:val="Titre1"/>
    <w:uiPriority w:val="9"/>
    <w:rsid w:val="00777332"/>
    <w:rPr>
      <w:rFonts w:asciiTheme="majorHAnsi" w:eastAsiaTheme="majorEastAsia" w:hAnsiTheme="majorHAnsi" w:cstheme="majorBidi"/>
      <w:color w:val="2E74B5" w:themeColor="accent1" w:themeShade="BF"/>
      <w:sz w:val="32"/>
      <w:szCs w:val="32"/>
    </w:r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751888"/>
    <w:rPr>
      <w:b/>
      <w:bCs/>
    </w:rPr>
  </w:style>
  <w:style w:type="character" w:customStyle="1" w:styleId="CommentaireCar">
    <w:name w:val="Commentaire Car"/>
    <w:basedOn w:val="Policepardfaut"/>
    <w:link w:val="Commentaire"/>
    <w:uiPriority w:val="99"/>
    <w:semiHidden/>
    <w:rsid w:val="00751888"/>
    <w:rPr>
      <w:sz w:val="20"/>
      <w:szCs w:val="20"/>
    </w:rPr>
  </w:style>
  <w:style w:type="character" w:customStyle="1" w:styleId="ObjetducommentaireCar">
    <w:name w:val="Objet du commentaire Car"/>
    <w:basedOn w:val="CommentaireCar"/>
    <w:link w:val="Objetducommentaire"/>
    <w:uiPriority w:val="99"/>
    <w:semiHidden/>
    <w:rsid w:val="007518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19251">
      <w:bodyDiv w:val="1"/>
      <w:marLeft w:val="0"/>
      <w:marRight w:val="0"/>
      <w:marTop w:val="0"/>
      <w:marBottom w:val="0"/>
      <w:divBdr>
        <w:top w:val="none" w:sz="0" w:space="0" w:color="auto"/>
        <w:left w:val="none" w:sz="0" w:space="0" w:color="auto"/>
        <w:bottom w:val="none" w:sz="0" w:space="0" w:color="auto"/>
        <w:right w:val="none" w:sz="0" w:space="0" w:color="auto"/>
      </w:divBdr>
    </w:div>
    <w:div w:id="1221329180">
      <w:bodyDiv w:val="1"/>
      <w:marLeft w:val="0"/>
      <w:marRight w:val="0"/>
      <w:marTop w:val="0"/>
      <w:marBottom w:val="0"/>
      <w:divBdr>
        <w:top w:val="none" w:sz="0" w:space="0" w:color="auto"/>
        <w:left w:val="none" w:sz="0" w:space="0" w:color="auto"/>
        <w:bottom w:val="none" w:sz="0" w:space="0" w:color="auto"/>
        <w:right w:val="none" w:sz="0" w:space="0" w:color="auto"/>
      </w:divBdr>
      <w:divsChild>
        <w:div w:id="556162858">
          <w:marLeft w:val="0"/>
          <w:marRight w:val="0"/>
          <w:marTop w:val="0"/>
          <w:marBottom w:val="0"/>
          <w:divBdr>
            <w:top w:val="none" w:sz="0" w:space="0" w:color="auto"/>
            <w:left w:val="none" w:sz="0" w:space="0" w:color="auto"/>
            <w:bottom w:val="none" w:sz="0" w:space="0" w:color="auto"/>
            <w:right w:val="none" w:sz="0" w:space="0" w:color="auto"/>
          </w:divBdr>
        </w:div>
        <w:div w:id="2074115356">
          <w:marLeft w:val="0"/>
          <w:marRight w:val="0"/>
          <w:marTop w:val="0"/>
          <w:marBottom w:val="0"/>
          <w:divBdr>
            <w:top w:val="none" w:sz="0" w:space="0" w:color="auto"/>
            <w:left w:val="none" w:sz="0" w:space="0" w:color="auto"/>
            <w:bottom w:val="none" w:sz="0" w:space="0" w:color="auto"/>
            <w:right w:val="none" w:sz="0" w:space="0" w:color="auto"/>
          </w:divBdr>
        </w:div>
      </w:divsChild>
    </w:div>
    <w:div w:id="1330060722">
      <w:bodyDiv w:val="1"/>
      <w:marLeft w:val="0"/>
      <w:marRight w:val="0"/>
      <w:marTop w:val="0"/>
      <w:marBottom w:val="0"/>
      <w:divBdr>
        <w:top w:val="none" w:sz="0" w:space="0" w:color="auto"/>
        <w:left w:val="none" w:sz="0" w:space="0" w:color="auto"/>
        <w:bottom w:val="none" w:sz="0" w:space="0" w:color="auto"/>
        <w:right w:val="none" w:sz="0" w:space="0" w:color="auto"/>
      </w:divBdr>
    </w:div>
    <w:div w:id="150072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ilo.org" TargetMode="External"/><Relationship Id="rId13" Type="http://schemas.openxmlformats.org/officeDocument/2006/relationships/hyperlink" Target="mailto:ruggia-frick@ilo.org" TargetMode="External"/><Relationship Id="rId18" Type="http://schemas.openxmlformats.org/officeDocument/2006/relationships/hyperlink" Target="mailto:ortiz@ilo.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reichel@ilo.org" TargetMode="External"/><Relationship Id="rId17" Type="http://schemas.openxmlformats.org/officeDocument/2006/relationships/hyperlink" Target="mailto:karasyov@ilo.org" TargetMode="External"/><Relationship Id="rId2" Type="http://schemas.openxmlformats.org/officeDocument/2006/relationships/numbering" Target="numbering.xml"/><Relationship Id="rId16" Type="http://schemas.openxmlformats.org/officeDocument/2006/relationships/hyperlink" Target="mailto:marquezroman@ilogues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ichel@ilo.org" TargetMode="External"/><Relationship Id="rId5" Type="http://schemas.openxmlformats.org/officeDocument/2006/relationships/webSettings" Target="webSettings.xml"/><Relationship Id="rId15" Type="http://schemas.openxmlformats.org/officeDocument/2006/relationships/hyperlink" Target="mailto:filhon@ilo.org" TargetMode="External"/><Relationship Id="rId10" Type="http://schemas.openxmlformats.org/officeDocument/2006/relationships/hyperlink" Target="mailto:mondoa-ngomba@ilo.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salle@ilo.org" TargetMode="External"/><Relationship Id="rId14" Type="http://schemas.openxmlformats.org/officeDocument/2006/relationships/hyperlink" Target="mailto:lasalle@ilo.org"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FAFA-A138-487F-9276-44BCC10D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1661</Words>
  <Characters>9473</Characters>
  <Application>Microsoft Office Word</Application>
  <DocSecurity>0</DocSecurity>
  <Lines>78</Lines>
  <Paragraphs>22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ILO</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Treichel, Bernd</dc:creator>
  <cp:keywords/>
  <dc:description/>
  <cp:lastModifiedBy>Dominique La Salle</cp:lastModifiedBy>
  <cp:revision>3</cp:revision>
  <cp:lastPrinted>2017-09-01T14:31:00Z</cp:lastPrinted>
  <dcterms:created xsi:type="dcterms:W3CDTF">2020-04-22T16:07:00Z</dcterms:created>
  <dcterms:modified xsi:type="dcterms:W3CDTF">2020-04-22T16:47:00Z</dcterms:modified>
</cp:coreProperties>
</file>